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BB" w:rsidRPr="000747E8" w:rsidRDefault="000747E8" w:rsidP="004476BB">
      <w:pPr>
        <w:pStyle w:val="NoSpacing"/>
        <w:rPr>
          <w:b/>
          <w:sz w:val="24"/>
          <w:szCs w:val="24"/>
        </w:rPr>
      </w:pPr>
      <w:r w:rsidRPr="000747E8">
        <w:rPr>
          <w:b/>
          <w:sz w:val="24"/>
          <w:szCs w:val="24"/>
        </w:rPr>
        <w:t xml:space="preserve">3.2. </w:t>
      </w:r>
      <w:r w:rsidR="004476BB" w:rsidRPr="000747E8">
        <w:rPr>
          <w:b/>
          <w:sz w:val="24"/>
          <w:szCs w:val="24"/>
        </w:rPr>
        <w:t xml:space="preserve">Cases of Miners’ Nystagmus, </w:t>
      </w:r>
      <w:r w:rsidR="00607E30" w:rsidRPr="000747E8">
        <w:rPr>
          <w:b/>
          <w:sz w:val="24"/>
          <w:szCs w:val="24"/>
        </w:rPr>
        <w:t xml:space="preserve">United Kingdom, </w:t>
      </w:r>
      <w:r w:rsidR="004476BB" w:rsidRPr="000747E8">
        <w:rPr>
          <w:b/>
          <w:sz w:val="24"/>
          <w:szCs w:val="24"/>
        </w:rPr>
        <w:t>1908-</w:t>
      </w:r>
      <w:r w:rsidR="00607E30" w:rsidRPr="000747E8">
        <w:rPr>
          <w:b/>
          <w:sz w:val="24"/>
          <w:szCs w:val="24"/>
        </w:rPr>
        <w:t>38.</w:t>
      </w:r>
    </w:p>
    <w:p w:rsidR="00FE1958" w:rsidRDefault="00FE1958" w:rsidP="004476BB">
      <w:pPr>
        <w:pStyle w:val="NoSpacing"/>
        <w:rPr>
          <w:sz w:val="24"/>
          <w:szCs w:val="24"/>
        </w:rPr>
      </w:pPr>
    </w:p>
    <w:p w:rsidR="00965E6F" w:rsidRDefault="00965E6F" w:rsidP="004476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="00123DA0">
        <w:rPr>
          <w:sz w:val="24"/>
          <w:szCs w:val="24"/>
        </w:rPr>
        <w:t>ote: N</w:t>
      </w:r>
      <w:r>
        <w:rPr>
          <w:sz w:val="24"/>
          <w:szCs w:val="24"/>
        </w:rPr>
        <w:t xml:space="preserve">ystagmus is a disease of the eye caused by work in low light conditions and involves the involuntary oscillation of the eyeball, vertigo, headaches and nausea. It was added to the list of </w:t>
      </w:r>
      <w:proofErr w:type="spellStart"/>
      <w:r>
        <w:rPr>
          <w:sz w:val="24"/>
          <w:szCs w:val="24"/>
        </w:rPr>
        <w:t>compensatable</w:t>
      </w:r>
      <w:proofErr w:type="spellEnd"/>
      <w:r>
        <w:rPr>
          <w:sz w:val="24"/>
          <w:szCs w:val="24"/>
        </w:rPr>
        <w:t xml:space="preserve"> conditions under the Workmen’s Compensation legislation by an Act of 1906.</w:t>
      </w:r>
    </w:p>
    <w:p w:rsidR="000747E8" w:rsidRPr="000747E8" w:rsidRDefault="000747E8" w:rsidP="004476B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296"/>
        <w:gridCol w:w="2297"/>
        <w:gridCol w:w="2144"/>
      </w:tblGrid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Year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Old cases</w:t>
            </w: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New cases</w:t>
            </w:r>
          </w:p>
        </w:tc>
        <w:tc>
          <w:tcPr>
            <w:tcW w:w="2144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Total</w:t>
            </w:r>
            <w:r w:rsidR="00527D4F" w:rsidRPr="000747E8">
              <w:rPr>
                <w:sz w:val="24"/>
                <w:szCs w:val="24"/>
              </w:rPr>
              <w:t xml:space="preserve"> cases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1908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74</w:t>
            </w: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386</w:t>
            </w:r>
          </w:p>
        </w:tc>
        <w:tc>
          <w:tcPr>
            <w:tcW w:w="2144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460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1909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380</w:t>
            </w: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631</w:t>
            </w:r>
          </w:p>
        </w:tc>
        <w:tc>
          <w:tcPr>
            <w:tcW w:w="2144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1,011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1910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662</w:t>
            </w: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956</w:t>
            </w:r>
          </w:p>
        </w:tc>
        <w:tc>
          <w:tcPr>
            <w:tcW w:w="2144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1,618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1911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1,144</w:t>
            </w:r>
          </w:p>
        </w:tc>
        <w:tc>
          <w:tcPr>
            <w:tcW w:w="2297" w:type="dxa"/>
          </w:tcPr>
          <w:p w:rsidR="00FE1958" w:rsidRPr="000747E8" w:rsidRDefault="00705AB5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1,374</w:t>
            </w:r>
          </w:p>
        </w:tc>
        <w:tc>
          <w:tcPr>
            <w:tcW w:w="2144" w:type="dxa"/>
          </w:tcPr>
          <w:p w:rsidR="00FE1958" w:rsidRPr="000747E8" w:rsidRDefault="00705AB5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2,518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1912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1,819</w:t>
            </w: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1,376</w:t>
            </w:r>
          </w:p>
        </w:tc>
        <w:tc>
          <w:tcPr>
            <w:tcW w:w="2144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3,195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1913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2,149</w:t>
            </w:r>
          </w:p>
        </w:tc>
        <w:tc>
          <w:tcPr>
            <w:tcW w:w="2297" w:type="dxa"/>
          </w:tcPr>
          <w:p w:rsidR="00FE1958" w:rsidRPr="000747E8" w:rsidRDefault="00B660E6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2,401</w:t>
            </w:r>
          </w:p>
        </w:tc>
        <w:tc>
          <w:tcPr>
            <w:tcW w:w="2144" w:type="dxa"/>
          </w:tcPr>
          <w:p w:rsidR="00FE1958" w:rsidRPr="000747E8" w:rsidRDefault="00B660E6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4,550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1914</w:t>
            </w:r>
          </w:p>
        </w:tc>
        <w:tc>
          <w:tcPr>
            <w:tcW w:w="2296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3,218</w:t>
            </w:r>
          </w:p>
        </w:tc>
        <w:tc>
          <w:tcPr>
            <w:tcW w:w="2297" w:type="dxa"/>
          </w:tcPr>
          <w:p w:rsidR="00FE1958" w:rsidRPr="000747E8" w:rsidRDefault="00B660E6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2,774</w:t>
            </w:r>
          </w:p>
        </w:tc>
        <w:tc>
          <w:tcPr>
            <w:tcW w:w="2144" w:type="dxa"/>
          </w:tcPr>
          <w:p w:rsidR="00FE1958" w:rsidRPr="000747E8" w:rsidRDefault="00B660E6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5,992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1915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1916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1917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1918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1919</w:t>
            </w:r>
          </w:p>
        </w:tc>
        <w:tc>
          <w:tcPr>
            <w:tcW w:w="2296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3,731</w:t>
            </w:r>
          </w:p>
        </w:tc>
        <w:tc>
          <w:tcPr>
            <w:tcW w:w="2297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2,718</w:t>
            </w:r>
          </w:p>
        </w:tc>
        <w:tc>
          <w:tcPr>
            <w:tcW w:w="2144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6,449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1920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4,163</w:t>
            </w: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2,865</w:t>
            </w:r>
          </w:p>
        </w:tc>
        <w:tc>
          <w:tcPr>
            <w:tcW w:w="2144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7,028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1921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4,804</w:t>
            </w: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1,913</w:t>
            </w:r>
          </w:p>
        </w:tc>
        <w:tc>
          <w:tcPr>
            <w:tcW w:w="2144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6,717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1922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5,063</w:t>
            </w: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4,092</w:t>
            </w:r>
          </w:p>
        </w:tc>
        <w:tc>
          <w:tcPr>
            <w:tcW w:w="2144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9,155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1923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7,273</w:t>
            </w: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3,883</w:t>
            </w:r>
          </w:p>
        </w:tc>
        <w:tc>
          <w:tcPr>
            <w:tcW w:w="2144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11,156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1924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7,635</w:t>
            </w: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3,271</w:t>
            </w:r>
          </w:p>
        </w:tc>
        <w:tc>
          <w:tcPr>
            <w:tcW w:w="2144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10,906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1925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7,890</w:t>
            </w: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3,445</w:t>
            </w:r>
          </w:p>
        </w:tc>
        <w:tc>
          <w:tcPr>
            <w:tcW w:w="2144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11,335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1926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8,270</w:t>
            </w: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1,771</w:t>
            </w:r>
          </w:p>
        </w:tc>
        <w:tc>
          <w:tcPr>
            <w:tcW w:w="2144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10,041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1927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7,934</w:t>
            </w: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1,802</w:t>
            </w:r>
          </w:p>
        </w:tc>
        <w:tc>
          <w:tcPr>
            <w:tcW w:w="2144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9,736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1928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7,265</w:t>
            </w: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2,555</w:t>
            </w:r>
          </w:p>
        </w:tc>
        <w:tc>
          <w:tcPr>
            <w:tcW w:w="2144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9,820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1929</w:t>
            </w:r>
          </w:p>
        </w:tc>
        <w:tc>
          <w:tcPr>
            <w:tcW w:w="2296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7,265</w:t>
            </w:r>
          </w:p>
        </w:tc>
        <w:tc>
          <w:tcPr>
            <w:tcW w:w="2297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2,577</w:t>
            </w:r>
          </w:p>
        </w:tc>
        <w:tc>
          <w:tcPr>
            <w:tcW w:w="2144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9,842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1930</w:t>
            </w:r>
          </w:p>
        </w:tc>
        <w:tc>
          <w:tcPr>
            <w:tcW w:w="2296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7,572</w:t>
            </w:r>
          </w:p>
        </w:tc>
        <w:tc>
          <w:tcPr>
            <w:tcW w:w="2297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3,066</w:t>
            </w:r>
          </w:p>
        </w:tc>
        <w:tc>
          <w:tcPr>
            <w:tcW w:w="2144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10,638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1931</w:t>
            </w:r>
          </w:p>
        </w:tc>
        <w:tc>
          <w:tcPr>
            <w:tcW w:w="2296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8,354</w:t>
            </w:r>
          </w:p>
        </w:tc>
        <w:tc>
          <w:tcPr>
            <w:tcW w:w="2297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2,729</w:t>
            </w:r>
          </w:p>
        </w:tc>
        <w:tc>
          <w:tcPr>
            <w:tcW w:w="2144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11,083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1932</w:t>
            </w:r>
          </w:p>
        </w:tc>
        <w:tc>
          <w:tcPr>
            <w:tcW w:w="2296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8,523</w:t>
            </w:r>
          </w:p>
        </w:tc>
        <w:tc>
          <w:tcPr>
            <w:tcW w:w="2297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1,962</w:t>
            </w:r>
          </w:p>
        </w:tc>
        <w:tc>
          <w:tcPr>
            <w:tcW w:w="2144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10,485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1933</w:t>
            </w:r>
          </w:p>
        </w:tc>
        <w:tc>
          <w:tcPr>
            <w:tcW w:w="2296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8,068</w:t>
            </w:r>
          </w:p>
        </w:tc>
        <w:tc>
          <w:tcPr>
            <w:tcW w:w="2297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1,535</w:t>
            </w:r>
          </w:p>
        </w:tc>
        <w:tc>
          <w:tcPr>
            <w:tcW w:w="2144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9,603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1934</w:t>
            </w:r>
          </w:p>
        </w:tc>
        <w:tc>
          <w:tcPr>
            <w:tcW w:w="2296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7,174</w:t>
            </w:r>
          </w:p>
        </w:tc>
        <w:tc>
          <w:tcPr>
            <w:tcW w:w="2297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1,745</w:t>
            </w:r>
          </w:p>
        </w:tc>
        <w:tc>
          <w:tcPr>
            <w:tcW w:w="2144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8,919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1935</w:t>
            </w:r>
          </w:p>
        </w:tc>
        <w:tc>
          <w:tcPr>
            <w:tcW w:w="2296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6,591</w:t>
            </w:r>
          </w:p>
        </w:tc>
        <w:tc>
          <w:tcPr>
            <w:tcW w:w="2297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1,839</w:t>
            </w:r>
          </w:p>
        </w:tc>
        <w:tc>
          <w:tcPr>
            <w:tcW w:w="2144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8,430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1936</w:t>
            </w:r>
          </w:p>
        </w:tc>
        <w:tc>
          <w:tcPr>
            <w:tcW w:w="2296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6,202</w:t>
            </w:r>
          </w:p>
        </w:tc>
        <w:tc>
          <w:tcPr>
            <w:tcW w:w="2297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1,522</w:t>
            </w:r>
          </w:p>
        </w:tc>
        <w:tc>
          <w:tcPr>
            <w:tcW w:w="2144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7,724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1937</w:t>
            </w:r>
          </w:p>
        </w:tc>
        <w:tc>
          <w:tcPr>
            <w:tcW w:w="2296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5,053</w:t>
            </w:r>
          </w:p>
        </w:tc>
        <w:tc>
          <w:tcPr>
            <w:tcW w:w="2297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1,165</w:t>
            </w:r>
          </w:p>
        </w:tc>
        <w:tc>
          <w:tcPr>
            <w:tcW w:w="2144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6,218</w:t>
            </w:r>
          </w:p>
        </w:tc>
      </w:tr>
      <w:tr w:rsidR="00FE1958" w:rsidRPr="000747E8" w:rsidTr="00FE1958">
        <w:tc>
          <w:tcPr>
            <w:tcW w:w="2279" w:type="dxa"/>
          </w:tcPr>
          <w:p w:rsidR="00FE1958" w:rsidRPr="000747E8" w:rsidRDefault="00FE1958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1938</w:t>
            </w:r>
          </w:p>
        </w:tc>
        <w:tc>
          <w:tcPr>
            <w:tcW w:w="2296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4,182</w:t>
            </w:r>
          </w:p>
        </w:tc>
        <w:tc>
          <w:tcPr>
            <w:tcW w:w="2297" w:type="dxa"/>
          </w:tcPr>
          <w:p w:rsidR="00FE1958" w:rsidRPr="000747E8" w:rsidRDefault="005C13B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1,020</w:t>
            </w:r>
          </w:p>
        </w:tc>
        <w:tc>
          <w:tcPr>
            <w:tcW w:w="2144" w:type="dxa"/>
          </w:tcPr>
          <w:p w:rsidR="00FE1958" w:rsidRPr="000747E8" w:rsidRDefault="00527D4F" w:rsidP="004476BB">
            <w:pPr>
              <w:pStyle w:val="NoSpacing"/>
              <w:rPr>
                <w:sz w:val="24"/>
                <w:szCs w:val="24"/>
              </w:rPr>
            </w:pPr>
            <w:r w:rsidRPr="000747E8">
              <w:rPr>
                <w:sz w:val="24"/>
                <w:szCs w:val="24"/>
              </w:rPr>
              <w:t>5,202</w:t>
            </w:r>
          </w:p>
        </w:tc>
      </w:tr>
    </w:tbl>
    <w:p w:rsidR="004476BB" w:rsidRPr="000747E8" w:rsidRDefault="004476BB" w:rsidP="004476BB">
      <w:pPr>
        <w:pStyle w:val="NoSpacing"/>
        <w:rPr>
          <w:sz w:val="24"/>
          <w:szCs w:val="24"/>
        </w:rPr>
      </w:pPr>
    </w:p>
    <w:p w:rsidR="004476BB" w:rsidRPr="000747E8" w:rsidRDefault="004476BB" w:rsidP="004476BB">
      <w:pPr>
        <w:pStyle w:val="NoSpacing"/>
        <w:rPr>
          <w:sz w:val="24"/>
          <w:szCs w:val="24"/>
        </w:rPr>
      </w:pPr>
    </w:p>
    <w:p w:rsidR="004476BB" w:rsidRPr="000747E8" w:rsidRDefault="00965E6F" w:rsidP="004476BB">
      <w:pPr>
        <w:pStyle w:val="NoSpacing"/>
        <w:rPr>
          <w:sz w:val="24"/>
          <w:szCs w:val="24"/>
        </w:rPr>
      </w:pPr>
      <w:r w:rsidRPr="00965E6F">
        <w:rPr>
          <w:sz w:val="24"/>
          <w:szCs w:val="24"/>
        </w:rPr>
        <w:t xml:space="preserve">Source: </w:t>
      </w:r>
      <w:r w:rsidR="004476BB" w:rsidRPr="000747E8">
        <w:rPr>
          <w:sz w:val="24"/>
          <w:szCs w:val="24"/>
        </w:rPr>
        <w:t>Statistics of compensation and proceedings under the Workmen's Compensation Acts, and the Employers' Liabil</w:t>
      </w:r>
      <w:r w:rsidR="00A35749">
        <w:rPr>
          <w:sz w:val="24"/>
          <w:szCs w:val="24"/>
        </w:rPr>
        <w:t>ity Act, 1880, in Great Britain</w:t>
      </w:r>
      <w:r w:rsidR="004476BB" w:rsidRPr="000747E8">
        <w:rPr>
          <w:sz w:val="24"/>
          <w:szCs w:val="24"/>
        </w:rPr>
        <w:t xml:space="preserve"> </w:t>
      </w:r>
      <w:r w:rsidR="00A35749">
        <w:rPr>
          <w:sz w:val="24"/>
          <w:szCs w:val="24"/>
        </w:rPr>
        <w:t>(</w:t>
      </w:r>
      <w:r w:rsidR="004476BB" w:rsidRPr="000747E8">
        <w:rPr>
          <w:sz w:val="24"/>
          <w:szCs w:val="24"/>
        </w:rPr>
        <w:t>annual</w:t>
      </w:r>
      <w:r w:rsidR="00A35749">
        <w:rPr>
          <w:sz w:val="24"/>
          <w:szCs w:val="24"/>
        </w:rPr>
        <w:t xml:space="preserve"> series)</w:t>
      </w:r>
      <w:r w:rsidR="004476BB" w:rsidRPr="000747E8">
        <w:rPr>
          <w:sz w:val="24"/>
          <w:szCs w:val="24"/>
        </w:rPr>
        <w:t>.</w:t>
      </w:r>
    </w:p>
    <w:sectPr w:rsidR="004476BB" w:rsidRPr="00074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B6" w:rsidRDefault="005D5CB6" w:rsidP="002173D9">
      <w:pPr>
        <w:spacing w:after="0" w:line="240" w:lineRule="auto"/>
      </w:pPr>
      <w:r>
        <w:separator/>
      </w:r>
    </w:p>
  </w:endnote>
  <w:endnote w:type="continuationSeparator" w:id="0">
    <w:p w:rsidR="005D5CB6" w:rsidRDefault="005D5CB6" w:rsidP="0021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D9" w:rsidRDefault="00217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D9" w:rsidRDefault="00217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D9" w:rsidRDefault="00217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B6" w:rsidRDefault="005D5CB6" w:rsidP="002173D9">
      <w:pPr>
        <w:spacing w:after="0" w:line="240" w:lineRule="auto"/>
      </w:pPr>
      <w:r>
        <w:separator/>
      </w:r>
    </w:p>
  </w:footnote>
  <w:footnote w:type="continuationSeparator" w:id="0">
    <w:p w:rsidR="005D5CB6" w:rsidRDefault="005D5CB6" w:rsidP="0021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D9" w:rsidRDefault="00217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D9" w:rsidRDefault="002173D9" w:rsidP="002173D9">
    <w:pPr>
      <w:pStyle w:val="Header"/>
      <w:jc w:val="right"/>
      <w:rPr>
        <w:lang w:val="cy-GB"/>
      </w:rPr>
    </w:pPr>
    <w:r>
      <w:rPr>
        <w:lang w:val="cy-GB"/>
      </w:rPr>
      <w:t xml:space="preserve">Disability and Industrial Society: A Comparative </w:t>
    </w:r>
  </w:p>
  <w:p w:rsidR="002173D9" w:rsidRDefault="002173D9" w:rsidP="002173D9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2173D9" w:rsidRDefault="002173D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D9" w:rsidRDefault="00217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BB"/>
    <w:rsid w:val="000747E8"/>
    <w:rsid w:val="00123DA0"/>
    <w:rsid w:val="002173D9"/>
    <w:rsid w:val="004476BB"/>
    <w:rsid w:val="00515982"/>
    <w:rsid w:val="00527D4F"/>
    <w:rsid w:val="005C13BF"/>
    <w:rsid w:val="005D5CB6"/>
    <w:rsid w:val="00607E30"/>
    <w:rsid w:val="00705AB5"/>
    <w:rsid w:val="00965E6F"/>
    <w:rsid w:val="00A35749"/>
    <w:rsid w:val="00B660E6"/>
    <w:rsid w:val="00D30EF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DE778-B2B8-4A3B-9BE4-197E5AB8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6BB"/>
    <w:pPr>
      <w:spacing w:after="0" w:line="240" w:lineRule="auto"/>
    </w:pPr>
  </w:style>
  <w:style w:type="table" w:styleId="TableGrid">
    <w:name w:val="Table Grid"/>
    <w:basedOn w:val="TableNormal"/>
    <w:uiPriority w:val="39"/>
    <w:rsid w:val="0044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D9"/>
  </w:style>
  <w:style w:type="paragraph" w:styleId="Footer">
    <w:name w:val="footer"/>
    <w:basedOn w:val="Normal"/>
    <w:link w:val="FooterChar"/>
    <w:uiPriority w:val="99"/>
    <w:unhideWhenUsed/>
    <w:rsid w:val="00217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Thompson [sdt]</dc:creator>
  <cp:keywords/>
  <dc:description/>
  <cp:lastModifiedBy>Admin</cp:lastModifiedBy>
  <cp:revision>6</cp:revision>
  <dcterms:created xsi:type="dcterms:W3CDTF">2016-09-01T11:48:00Z</dcterms:created>
  <dcterms:modified xsi:type="dcterms:W3CDTF">2016-11-09T11:03:00Z</dcterms:modified>
</cp:coreProperties>
</file>